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42201368"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Pr>
          <w:rFonts w:ascii="Arial" w:hAnsi="Arial" w:cs="Arial"/>
          <w:b/>
          <w:bCs/>
          <w:sz w:val="20"/>
          <w:szCs w:val="20"/>
        </w:rPr>
        <w:t>92</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R1-180228</w:t>
      </w:r>
      <w:r w:rsidR="00B85C67" w:rsidRPr="00B85C67">
        <w:rPr>
          <w:rFonts w:ascii="Arial" w:hAnsi="Arial" w:cs="Arial"/>
          <w:b/>
          <w:bCs/>
          <w:sz w:val="20"/>
          <w:szCs w:val="20"/>
        </w:rPr>
        <w:t>7</w:t>
      </w:r>
    </w:p>
    <w:p w14:paraId="2A527F7E" w14:textId="42F16EB5" w:rsidR="00B11415" w:rsidRPr="00B11415" w:rsidRDefault="00594DD0"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Athens</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Greece</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February</w:t>
      </w:r>
      <w:r w:rsidR="00B11415" w:rsidRPr="00B11415">
        <w:rPr>
          <w:rFonts w:ascii="Arial" w:eastAsia="MS Mincho" w:hAnsi="Arial" w:cs="Arial"/>
          <w:b/>
          <w:bCs/>
          <w:sz w:val="20"/>
          <w:szCs w:val="20"/>
          <w:lang w:eastAsia="ja-JP"/>
        </w:rPr>
        <w:t xml:space="preserve"> 2</w:t>
      </w:r>
      <w:r>
        <w:rPr>
          <w:rFonts w:ascii="Arial" w:eastAsia="MS Mincho" w:hAnsi="Arial" w:cs="Arial"/>
          <w:b/>
          <w:bCs/>
          <w:sz w:val="20"/>
          <w:szCs w:val="20"/>
          <w:lang w:eastAsia="ja-JP"/>
        </w:rPr>
        <w:t>6</w:t>
      </w:r>
      <w:r w:rsidR="00B11415" w:rsidRPr="00B11415">
        <w:rPr>
          <w:rFonts w:ascii="Arial" w:eastAsia="MS Mincho" w:hAnsi="Arial" w:cs="Arial"/>
          <w:b/>
          <w:bCs/>
          <w:sz w:val="20"/>
          <w:szCs w:val="20"/>
          <w:vertAlign w:val="superscript"/>
          <w:lang w:eastAsia="ja-JP"/>
        </w:rPr>
        <w:t>th</w:t>
      </w:r>
      <w:r>
        <w:rPr>
          <w:rFonts w:ascii="Arial" w:eastAsia="MS Mincho" w:hAnsi="Arial" w:cs="Arial"/>
          <w:b/>
          <w:bCs/>
          <w:sz w:val="20"/>
          <w:szCs w:val="20"/>
          <w:lang w:eastAsia="ja-JP"/>
        </w:rPr>
        <w:t xml:space="preserve"> – March</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2</w:t>
      </w:r>
      <w:r>
        <w:rPr>
          <w:rFonts w:ascii="Arial" w:eastAsia="MS Mincho" w:hAnsi="Arial" w:cs="Arial"/>
          <w:b/>
          <w:bCs/>
          <w:sz w:val="20"/>
          <w:szCs w:val="20"/>
          <w:vertAlign w:val="superscript"/>
          <w:lang w:eastAsia="ja-JP"/>
        </w:rPr>
        <w:t>nd</w:t>
      </w:r>
      <w:r>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6BA839B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594DD0">
        <w:rPr>
          <w:sz w:val="22"/>
          <w:szCs w:val="22"/>
        </w:rPr>
        <w:t>6.4</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7A47D8A" w:rsidR="008E401E" w:rsidRDefault="003D3C45" w:rsidP="00311702">
      <w:pPr>
        <w:pStyle w:val="3GPPHeader"/>
        <w:rPr>
          <w:sz w:val="22"/>
          <w:szCs w:val="22"/>
        </w:rPr>
      </w:pPr>
      <w:r w:rsidRPr="00315C6E">
        <w:rPr>
          <w:sz w:val="22"/>
          <w:szCs w:val="22"/>
        </w:rPr>
        <w:t>Title:</w:t>
      </w:r>
      <w:r w:rsidR="00E90E49" w:rsidRPr="00315C6E">
        <w:rPr>
          <w:sz w:val="22"/>
          <w:szCs w:val="22"/>
        </w:rPr>
        <w:tab/>
      </w:r>
      <w:r w:rsidR="00B01D07">
        <w:rPr>
          <w:sz w:val="22"/>
          <w:szCs w:val="22"/>
        </w:rPr>
        <w:t>NR Unlicensed Considerations</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00D5796C" w14:textId="74009239" w:rsidR="00380D0E" w:rsidRDefault="00380D0E" w:rsidP="00380D0E">
      <w:pPr>
        <w:jc w:val="both"/>
      </w:pPr>
      <w:r>
        <w:t>LTE based unlicensed operation</w:t>
      </w:r>
      <w:r w:rsidR="00723279">
        <w:t>s</w:t>
      </w:r>
      <w:r>
        <w:t>, i.e. LAA/eLAA, were</w:t>
      </w:r>
      <w:r w:rsidR="00D74F31">
        <w:t xml:space="preserve"> introduced </w:t>
      </w:r>
      <w:r>
        <w:t xml:space="preserve">starting </w:t>
      </w:r>
      <w:r w:rsidR="00D74F31">
        <w:t>from Rel-13</w:t>
      </w:r>
      <w:r>
        <w:t xml:space="preserve">. As NR phase 1 specification was recently frozen, and </w:t>
      </w:r>
      <w:r w:rsidR="00723279">
        <w:t>phase 2</w:t>
      </w:r>
      <w:r>
        <w:t xml:space="preserve"> Rel-15 specifications expected to be completed by June 2018, it </w:t>
      </w:r>
      <w:r w:rsidR="00723279">
        <w:t xml:space="preserve">is </w:t>
      </w:r>
      <w:r>
        <w:t>beneficial t</w:t>
      </w:r>
      <w:r w:rsidR="00723279">
        <w:t>o study the potential leverage</w:t>
      </w:r>
      <w:r>
        <w:t xml:space="preserve"> of new NR design</w:t>
      </w:r>
      <w:r w:rsidR="00723279">
        <w:t>s</w:t>
      </w:r>
      <w:r>
        <w:t xml:space="preserve"> to enhance the </w:t>
      </w:r>
      <w:r w:rsidR="00723279">
        <w:t xml:space="preserve">NR-based </w:t>
      </w:r>
      <w:r>
        <w:t xml:space="preserve">unlicensed access. </w:t>
      </w:r>
    </w:p>
    <w:p w14:paraId="4862446F" w14:textId="77777777" w:rsidR="00380D0E" w:rsidRDefault="00380D0E" w:rsidP="00380D0E">
      <w:pPr>
        <w:jc w:val="both"/>
      </w:pPr>
    </w:p>
    <w:p w14:paraId="2FF873FA" w14:textId="3BCB9D04" w:rsidR="00D74F31" w:rsidRDefault="00380D0E" w:rsidP="00380D0E">
      <w:pPr>
        <w:jc w:val="both"/>
      </w:pPr>
      <w:r>
        <w:t xml:space="preserve">A Rel-15 study item on NR-based unlicensed access has been approved to study the solutions applicable to </w:t>
      </w:r>
      <w:r w:rsidR="00A10CD6">
        <w:t xml:space="preserve">potential spectrum candidates both below and above 6Ghz, as well as various deployment scenarios, including CA or DC based LAA and standalone </w:t>
      </w:r>
      <w:r w:rsidR="00723279">
        <w:t>based unlicensed</w:t>
      </w:r>
      <w:r w:rsidR="00A10CD6">
        <w:t xml:space="preserve"> operations. </w:t>
      </w:r>
      <w:r>
        <w:t xml:space="preserve">  </w:t>
      </w:r>
    </w:p>
    <w:p w14:paraId="74E4FD9E" w14:textId="77777777" w:rsidR="00380D0E" w:rsidRPr="00D74F31" w:rsidRDefault="00380D0E" w:rsidP="00D74F31"/>
    <w:p w14:paraId="2638A990" w14:textId="201EE0EE" w:rsidR="00D74F31" w:rsidRDefault="00D74F31" w:rsidP="009A28B6">
      <w:pPr>
        <w:jc w:val="both"/>
        <w:rPr>
          <w:bCs/>
        </w:rPr>
      </w:pPr>
      <w:r>
        <w:rPr>
          <w:bCs/>
        </w:rPr>
        <w:t xml:space="preserve">Specifically, the study item will include the following objectives </w:t>
      </w:r>
      <w:r>
        <w:rPr>
          <w:bCs/>
        </w:rPr>
        <w:fldChar w:fldCharType="begin"/>
      </w:r>
      <w:r>
        <w:rPr>
          <w:bCs/>
        </w:rPr>
        <w:instrText xml:space="preserve"> REF _Ref506552387 \n \h </w:instrText>
      </w:r>
      <w:r w:rsidR="009A28B6">
        <w:rPr>
          <w:bCs/>
        </w:rPr>
        <w:instrText xml:space="preserve"> \* MERGEFORMAT </w:instrText>
      </w:r>
      <w:r>
        <w:rPr>
          <w:bCs/>
        </w:rPr>
      </w:r>
      <w:r>
        <w:rPr>
          <w:bCs/>
        </w:rPr>
        <w:fldChar w:fldCharType="separate"/>
      </w:r>
      <w:r w:rsidR="00FE3D51">
        <w:rPr>
          <w:bCs/>
        </w:rPr>
        <w:t>[1]</w:t>
      </w:r>
      <w:r>
        <w:rPr>
          <w:bCs/>
        </w:rPr>
        <w:fldChar w:fldCharType="end"/>
      </w:r>
      <w:r>
        <w:rPr>
          <w:bCs/>
        </w:rPr>
        <w:t xml:space="preserve">: </w:t>
      </w:r>
    </w:p>
    <w:p w14:paraId="66CDC177" w14:textId="77777777" w:rsidR="00D74F31" w:rsidRDefault="00D74F31" w:rsidP="009A28B6">
      <w:pPr>
        <w:jc w:val="both"/>
        <w:rPr>
          <w:bCs/>
        </w:rPr>
      </w:pPr>
    </w:p>
    <w:p w14:paraId="7E83EF5B" w14:textId="77777777" w:rsidR="00D74F31" w:rsidRPr="00380148" w:rsidRDefault="00D74F31" w:rsidP="009A28B6">
      <w:pPr>
        <w:numPr>
          <w:ilvl w:val="0"/>
          <w:numId w:val="29"/>
        </w:numPr>
        <w:overflowPunct w:val="0"/>
        <w:autoSpaceDE w:val="0"/>
        <w:autoSpaceDN w:val="0"/>
        <w:adjustRightInd w:val="0"/>
        <w:jc w:val="both"/>
        <w:textAlignment w:val="baseline"/>
        <w:rPr>
          <w:bCs/>
        </w:rPr>
      </w:pPr>
      <w:r>
        <w:rPr>
          <w:bCs/>
        </w:rPr>
        <w:t xml:space="preserve">Study NR-based operation in unlicensed spectrum </w:t>
      </w:r>
      <w:r w:rsidRPr="00380148">
        <w:rPr>
          <w:bCs/>
        </w:rPr>
        <w:t>(RAN1, RAN2, RAN4)</w:t>
      </w:r>
      <w:r>
        <w:rPr>
          <w:bCs/>
        </w:rPr>
        <w:t xml:space="preserve"> including </w:t>
      </w:r>
    </w:p>
    <w:p w14:paraId="2682834D" w14:textId="77777777" w:rsidR="00D74F31" w:rsidRDefault="00D74F31" w:rsidP="009A28B6">
      <w:pPr>
        <w:numPr>
          <w:ilvl w:val="1"/>
          <w:numId w:val="30"/>
        </w:numPr>
        <w:overflowPunct w:val="0"/>
        <w:autoSpaceDE w:val="0"/>
        <w:autoSpaceDN w:val="0"/>
        <w:adjustRightInd w:val="0"/>
        <w:jc w:val="both"/>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77F3E395" w14:textId="77777777" w:rsidR="00D74F31" w:rsidRDefault="00D74F31" w:rsidP="009A28B6">
      <w:pPr>
        <w:numPr>
          <w:ilvl w:val="2"/>
          <w:numId w:val="30"/>
        </w:numPr>
        <w:overflowPunct w:val="0"/>
        <w:autoSpaceDE w:val="0"/>
        <w:autoSpaceDN w:val="0"/>
        <w:adjustRightInd w:val="0"/>
        <w:jc w:val="both"/>
        <w:textAlignment w:val="baseline"/>
        <w:rPr>
          <w:bCs/>
        </w:rPr>
      </w:pPr>
      <w:r>
        <w:rPr>
          <w:bCs/>
        </w:rPr>
        <w:t>Consider unlicensed bands both below and above 6GHz, up to 52.6GHz</w:t>
      </w:r>
    </w:p>
    <w:p w14:paraId="626EB753"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Consider unlicensed bands above 52.6GHz to the extent that waveform design principles remain unchanged with respect to below 52.6GHz bands </w:t>
      </w:r>
    </w:p>
    <w:p w14:paraId="4C7BD015" w14:textId="77777777" w:rsidR="00D74F31" w:rsidRPr="006D32D5" w:rsidRDefault="00D74F31" w:rsidP="009A28B6">
      <w:pPr>
        <w:numPr>
          <w:ilvl w:val="2"/>
          <w:numId w:val="30"/>
        </w:numPr>
        <w:overflowPunct w:val="0"/>
        <w:autoSpaceDE w:val="0"/>
        <w:autoSpaceDN w:val="0"/>
        <w:adjustRightInd w:val="0"/>
        <w:jc w:val="both"/>
        <w:textAlignment w:val="baseline"/>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44EA82CE" w14:textId="77777777" w:rsidR="00D74F31" w:rsidRPr="00BF75FD" w:rsidRDefault="00D74F31" w:rsidP="009A28B6">
      <w:pPr>
        <w:numPr>
          <w:ilvl w:val="1"/>
          <w:numId w:val="30"/>
        </w:numPr>
        <w:overflowPunct w:val="0"/>
        <w:autoSpaceDE w:val="0"/>
        <w:autoSpaceDN w:val="0"/>
        <w:adjustRightInd w:val="0"/>
        <w:jc w:val="both"/>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73A8F61E" w14:textId="77777777" w:rsidR="00D74F31" w:rsidRPr="00E16BC1" w:rsidRDefault="00D74F31" w:rsidP="009A28B6">
      <w:pPr>
        <w:numPr>
          <w:ilvl w:val="1"/>
          <w:numId w:val="30"/>
        </w:numPr>
        <w:overflowPunct w:val="0"/>
        <w:autoSpaceDE w:val="0"/>
        <w:autoSpaceDN w:val="0"/>
        <w:adjustRightInd w:val="0"/>
        <w:jc w:val="both"/>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33F6E292"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C0625C1" w14:textId="77777777" w:rsidR="00D0190A" w:rsidRDefault="00D0190A" w:rsidP="009A28B6">
      <w:pPr>
        <w:jc w:val="both"/>
        <w:rPr>
          <w:sz w:val="20"/>
          <w:szCs w:val="20"/>
        </w:rPr>
      </w:pPr>
    </w:p>
    <w:p w14:paraId="0F4CD6E6" w14:textId="76F2CBF0" w:rsidR="00A5758E" w:rsidRPr="0012647B" w:rsidRDefault="009A28B6" w:rsidP="009A28B6">
      <w:pPr>
        <w:jc w:val="both"/>
      </w:pPr>
      <w:r>
        <w:t xml:space="preserve">In this contribution, we briefly discuss how </w:t>
      </w:r>
      <w:r w:rsidR="00723279">
        <w:t xml:space="preserve">new </w:t>
      </w:r>
      <w:r>
        <w:t>NR design</w:t>
      </w:r>
      <w:r w:rsidR="00723279">
        <w:t>s</w:t>
      </w:r>
      <w:r>
        <w:t xml:space="preserve"> can benefit the NR-based unlicensed access, a</w:t>
      </w:r>
      <w:r w:rsidR="00723279">
        <w:t>s well as potential further enhancements</w:t>
      </w:r>
      <w:r>
        <w:t>.</w:t>
      </w:r>
    </w:p>
    <w:p w14:paraId="543285F5" w14:textId="79A0B631" w:rsidR="00B02A2D" w:rsidRDefault="00B02A2D" w:rsidP="00365CF3">
      <w:pPr>
        <w:pStyle w:val="Heading1"/>
      </w:pPr>
      <w:r>
        <w:lastRenderedPageBreak/>
        <w:t>Leverage of Advanced NR Design</w:t>
      </w:r>
    </w:p>
    <w:p w14:paraId="2FDE3249" w14:textId="3F940A33" w:rsidR="009A28B6" w:rsidRDefault="009A28B6" w:rsidP="003B59BC">
      <w:pPr>
        <w:jc w:val="both"/>
      </w:pPr>
      <w:r>
        <w:t>Rel-15 NR design offers substantially more configuration flexibility compared to the LTE design, including scalable numerology, more flexible frame structure</w:t>
      </w:r>
      <w:r w:rsidR="003B59BC">
        <w:t>, as well as innate support</w:t>
      </w:r>
      <w:r w:rsidR="00723279">
        <w:t xml:space="preserve"> of</w:t>
      </w:r>
      <w:r w:rsidR="003B59BC">
        <w:t xml:space="preserve"> beam-based operation at higher carrier frequencies.</w:t>
      </w:r>
    </w:p>
    <w:p w14:paraId="1842345F" w14:textId="246BD7D7" w:rsidR="003B59BC" w:rsidRDefault="00185503" w:rsidP="00185503">
      <w:pPr>
        <w:pStyle w:val="Heading2"/>
      </w:pPr>
      <w:r>
        <w:t>Scalable numerology</w:t>
      </w:r>
    </w:p>
    <w:p w14:paraId="3EDFDB1B" w14:textId="54CC6855" w:rsidR="003B59BC" w:rsidRDefault="003B59BC" w:rsidP="003B59BC">
      <w:pPr>
        <w:jc w:val="both"/>
      </w:pPr>
      <w:r>
        <w:t>Rel-15 NR specifications sup</w:t>
      </w:r>
      <w:r w:rsidR="00723279">
        <w:t>ports scalable sub-carrier spacing</w:t>
      </w:r>
      <w:r>
        <w:t xml:space="preserve">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k</m:t>
            </m:r>
          </m:sup>
        </m:sSup>
      </m:oMath>
      <w:r>
        <w:t>kHz, up</w:t>
      </w:r>
      <w:r w:rsidR="00E3120E">
        <w:t xml:space="preserve"> </w:t>
      </w:r>
      <w:r>
        <w:t xml:space="preserve">to 240kHz. With default 4096-FFT, this can support more than 900Mhz channel bandwidth, sufficient for most potential spectrum candidates (larger SCS may be needed for 60GHz spectrum, where multi-GHz continuous spectrum is available).  </w:t>
      </w:r>
    </w:p>
    <w:p w14:paraId="4D6BBD38" w14:textId="77777777" w:rsidR="001C100B" w:rsidRDefault="001C100B" w:rsidP="003B59BC">
      <w:pPr>
        <w:jc w:val="both"/>
      </w:pPr>
    </w:p>
    <w:p w14:paraId="58440EBF" w14:textId="45F6A5B4" w:rsidR="00185503" w:rsidRDefault="00185503" w:rsidP="00185503">
      <w:pPr>
        <w:pStyle w:val="Heading2"/>
      </w:pPr>
      <w:r>
        <w:t>Mini-slot and configurable search space monitoring</w:t>
      </w:r>
    </w:p>
    <w:p w14:paraId="0C981F0A" w14:textId="49B3E277" w:rsidR="00C660F9" w:rsidRDefault="001C100B" w:rsidP="00C660F9">
      <w:pPr>
        <w:jc w:val="both"/>
      </w:pPr>
      <w:r>
        <w:t xml:space="preserve">Existing LAA introduces frame structure type 3, which allows </w:t>
      </w:r>
      <w:r w:rsidR="00723279">
        <w:t>flexible transmission</w:t>
      </w:r>
      <w:r>
        <w:t xml:space="preserve"> starting positions for unlicensed access at slot boundaries. This improves spectrum utilization, particularly in highly loaded scenarios. Rel-15 NR supports more refined frame structure, including non-slot</w:t>
      </w:r>
      <w:r w:rsidR="00C56A28">
        <w:t xml:space="preserve"> (or mini-slot)</w:t>
      </w:r>
      <w:r>
        <w:t xml:space="preserve"> transmissions spanning 2, 4 and 7 symbols. </w:t>
      </w:r>
      <w:r w:rsidR="00C660F9">
        <w:t>Together with c</w:t>
      </w:r>
      <w:r w:rsidR="00723279">
        <w:t>onfigurable search space monitoring</w:t>
      </w:r>
      <w:r w:rsidR="00C660F9">
        <w:t xml:space="preserve"> occasions</w:t>
      </w:r>
      <w:r w:rsidR="00800783">
        <w:t xml:space="preserve"> within a slot</w:t>
      </w:r>
      <w:r w:rsidR="00C660F9">
        <w:t>, t</w:t>
      </w:r>
      <w:r w:rsidR="00C56A28">
        <w:t xml:space="preserve">he mini-slot transmission can </w:t>
      </w:r>
      <w:r w:rsidR="00C660F9">
        <w:t>further improve</w:t>
      </w:r>
      <w:r>
        <w:t xml:space="preserve"> spectrum utilization </w:t>
      </w:r>
      <w:r w:rsidR="00C56A28">
        <w:t>due to shorte</w:t>
      </w:r>
      <w:r w:rsidR="00C660F9">
        <w:t xml:space="preserve">r transmission burst, as illustrated in </w:t>
      </w:r>
      <w:r w:rsidR="00F32120">
        <w:fldChar w:fldCharType="begin"/>
      </w:r>
      <w:r w:rsidR="00F32120">
        <w:instrText xml:space="preserve"> REF _Ref506572776 \h </w:instrText>
      </w:r>
      <w:r w:rsidR="00F32120">
        <w:fldChar w:fldCharType="separate"/>
      </w:r>
      <w:r w:rsidR="00FE3D51">
        <w:t xml:space="preserve">Figure </w:t>
      </w:r>
      <w:r w:rsidR="00FE3D51">
        <w:rPr>
          <w:noProof/>
        </w:rPr>
        <w:t>2</w:t>
      </w:r>
      <w:r w:rsidR="00FE3D51">
        <w:noBreakHyphen/>
      </w:r>
      <w:r w:rsidR="00FE3D51">
        <w:rPr>
          <w:noProof/>
        </w:rPr>
        <w:t>1</w:t>
      </w:r>
      <w:r w:rsidR="00F32120">
        <w:fldChar w:fldCharType="end"/>
      </w:r>
      <w:r w:rsidR="00F32120">
        <w:t>.</w:t>
      </w:r>
    </w:p>
    <w:p w14:paraId="10D29C64" w14:textId="77777777" w:rsidR="00F32120" w:rsidRDefault="00F32120" w:rsidP="00C660F9">
      <w:pPr>
        <w:jc w:val="both"/>
      </w:pPr>
    </w:p>
    <w:p w14:paraId="769D4806" w14:textId="57B83E45" w:rsidR="00C56A28" w:rsidRDefault="00800783" w:rsidP="00800783">
      <w:r w:rsidRPr="00800783">
        <w:rPr>
          <w:noProof/>
        </w:rPr>
        <w:drawing>
          <wp:inline distT="0" distB="0" distL="0" distR="0" wp14:anchorId="5239BCE6" wp14:editId="1D4D47A0">
            <wp:extent cx="6120765" cy="1761490"/>
            <wp:effectExtent l="0" t="0" r="63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761490"/>
                    </a:xfrm>
                    <a:prstGeom prst="rect">
                      <a:avLst/>
                    </a:prstGeom>
                  </pic:spPr>
                </pic:pic>
              </a:graphicData>
            </a:graphic>
          </wp:inline>
        </w:drawing>
      </w:r>
    </w:p>
    <w:p w14:paraId="0CD14450" w14:textId="042B7A4B" w:rsidR="00C660F9" w:rsidRDefault="00C660F9" w:rsidP="00C660F9">
      <w:pPr>
        <w:pStyle w:val="Caption"/>
      </w:pPr>
      <w:bookmarkStart w:id="0" w:name="_Ref506572776"/>
      <w:r>
        <w:t xml:space="preserve">Figure </w:t>
      </w:r>
      <w:fldSimple w:instr=" STYLEREF 1 \s ">
        <w:r w:rsidR="00FE3D51">
          <w:rPr>
            <w:noProof/>
          </w:rPr>
          <w:t>2</w:t>
        </w:r>
      </w:fldSimple>
      <w:r w:rsidR="00A30B36">
        <w:noBreakHyphen/>
      </w:r>
      <w:fldSimple w:instr=" SEQ Figure \* ARABIC \s 1 ">
        <w:r w:rsidR="00FE3D51">
          <w:rPr>
            <w:noProof/>
          </w:rPr>
          <w:t>1</w:t>
        </w:r>
      </w:fldSimple>
      <w:bookmarkEnd w:id="0"/>
      <w:r>
        <w:t xml:space="preserve"> </w:t>
      </w:r>
      <w:r w:rsidR="00F32120">
        <w:t>Improved spectral utilization with mini-slot</w:t>
      </w:r>
    </w:p>
    <w:p w14:paraId="13C5A8B2" w14:textId="77777777" w:rsidR="00A30B36" w:rsidRDefault="00A30B36" w:rsidP="00A30B36"/>
    <w:p w14:paraId="20E57D0C" w14:textId="485BD4E1" w:rsidR="00A30B36" w:rsidRDefault="00A30B36" w:rsidP="00A30B36">
      <w:pPr>
        <w:jc w:val="both"/>
      </w:pPr>
      <w:r>
        <w:t xml:space="preserve">As further discussed in section </w:t>
      </w:r>
      <w:r>
        <w:fldChar w:fldCharType="begin"/>
      </w:r>
      <w:r>
        <w:instrText xml:space="preserve"> REF _Ref506573700 \n \h </w:instrText>
      </w:r>
      <w:r>
        <w:fldChar w:fldCharType="separate"/>
      </w:r>
      <w:r w:rsidR="00FE3D51">
        <w:t>3</w:t>
      </w:r>
      <w:r>
        <w:fldChar w:fldCharType="end"/>
      </w:r>
      <w:r>
        <w:t xml:space="preserve">, RTS/CTS is a useful complement to </w:t>
      </w:r>
      <w:r w:rsidR="00723279">
        <w:t xml:space="preserve">existing </w:t>
      </w:r>
      <w:r>
        <w:t>LBT</w:t>
      </w:r>
      <w:r w:rsidR="00723279">
        <w:t xml:space="preserve"> mechanism</w:t>
      </w:r>
      <w:r>
        <w:t xml:space="preserve"> in certain scenarios</w:t>
      </w:r>
      <w:r w:rsidR="00723279">
        <w:t>. T</w:t>
      </w:r>
      <w:r>
        <w:t xml:space="preserve">he usage of mini-slot enables such operation within a single channel occupancy time, as illustrated in </w:t>
      </w:r>
      <w:r w:rsidR="00DE1A37">
        <w:fldChar w:fldCharType="begin"/>
      </w:r>
      <w:r w:rsidR="00DE1A37">
        <w:instrText xml:space="preserve"> REF _Ref506574122 \h </w:instrText>
      </w:r>
      <w:r w:rsidR="00DE1A37">
        <w:fldChar w:fldCharType="separate"/>
      </w:r>
      <w:r w:rsidR="00FE3D51">
        <w:t xml:space="preserve">Figure </w:t>
      </w:r>
      <w:r w:rsidR="00FE3D51">
        <w:rPr>
          <w:noProof/>
        </w:rPr>
        <w:t>2</w:t>
      </w:r>
      <w:r w:rsidR="00FE3D51">
        <w:noBreakHyphen/>
      </w:r>
      <w:r w:rsidR="00FE3D51">
        <w:rPr>
          <w:noProof/>
        </w:rPr>
        <w:t>2</w:t>
      </w:r>
      <w:r w:rsidR="00DE1A37">
        <w:fldChar w:fldCharType="end"/>
      </w:r>
    </w:p>
    <w:p w14:paraId="3A7FCD96" w14:textId="2D40854B" w:rsidR="00A30B36" w:rsidRDefault="00A30B36" w:rsidP="00A30B36">
      <w:pPr>
        <w:jc w:val="center"/>
      </w:pPr>
      <w:r w:rsidRPr="00A30B36">
        <w:rPr>
          <w:noProof/>
        </w:rPr>
        <w:drawing>
          <wp:inline distT="0" distB="0" distL="0" distR="0" wp14:anchorId="1F464D0A" wp14:editId="67063459">
            <wp:extent cx="195580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55800" cy="571500"/>
                    </a:xfrm>
                    <a:prstGeom prst="rect">
                      <a:avLst/>
                    </a:prstGeom>
                  </pic:spPr>
                </pic:pic>
              </a:graphicData>
            </a:graphic>
          </wp:inline>
        </w:drawing>
      </w:r>
    </w:p>
    <w:p w14:paraId="7413319D" w14:textId="51B9A563" w:rsidR="00A30B36" w:rsidRPr="00A30B36" w:rsidRDefault="00A30B36" w:rsidP="00A30B36">
      <w:pPr>
        <w:pStyle w:val="Caption"/>
      </w:pPr>
      <w:bookmarkStart w:id="1" w:name="_Ref506574122"/>
      <w:r>
        <w:t xml:space="preserve">Figure </w:t>
      </w:r>
      <w:fldSimple w:instr=" STYLEREF 1 \s ">
        <w:r w:rsidR="00FE3D51">
          <w:rPr>
            <w:noProof/>
          </w:rPr>
          <w:t>2</w:t>
        </w:r>
      </w:fldSimple>
      <w:r>
        <w:noBreakHyphen/>
      </w:r>
      <w:fldSimple w:instr=" SEQ Figure \* ARABIC \s 1 ">
        <w:r w:rsidR="00FE3D51">
          <w:rPr>
            <w:noProof/>
          </w:rPr>
          <w:t>2</w:t>
        </w:r>
      </w:fldSimple>
      <w:bookmarkEnd w:id="1"/>
      <w:r>
        <w:t xml:space="preserve"> Advanced frame struc</w:t>
      </w:r>
      <w:r w:rsidR="00DE1A37">
        <w:t>ture with mini-slot</w:t>
      </w:r>
    </w:p>
    <w:p w14:paraId="10DD5CEF" w14:textId="77777777" w:rsidR="00F32120" w:rsidRPr="00F32120" w:rsidRDefault="00F32120" w:rsidP="00F32120"/>
    <w:p w14:paraId="63549D04" w14:textId="39AF3051" w:rsidR="00C660F9" w:rsidRDefault="00F32120" w:rsidP="00C660F9">
      <w:pPr>
        <w:pStyle w:val="Heading2"/>
      </w:pPr>
      <w:r>
        <w:t>Flexible frame structure and HARQ timing</w:t>
      </w:r>
    </w:p>
    <w:p w14:paraId="580F5E75" w14:textId="5D44A341" w:rsidR="00546FD0" w:rsidRDefault="00800783" w:rsidP="00C56A28">
      <w:pPr>
        <w:jc w:val="both"/>
      </w:pPr>
      <w:r>
        <w:t xml:space="preserve">In addition to </w:t>
      </w:r>
      <w:r w:rsidR="00AF32DD">
        <w:t xml:space="preserve">CA-based </w:t>
      </w:r>
      <w:r>
        <w:t>LAA, there is also motivation to support other types of NR</w:t>
      </w:r>
      <w:r w:rsidR="00AF32DD">
        <w:t>-based unlicensed</w:t>
      </w:r>
      <w:r>
        <w:t xml:space="preserve"> deployment scenarios such as dual connectivity and standalone modes, where L1 uplink control is also expected to be sent over unlicensed spectrum. In such scenarios, the f</w:t>
      </w:r>
      <w:r w:rsidR="00C56A28">
        <w:t xml:space="preserve">lexible frame structure and </w:t>
      </w:r>
      <w:r w:rsidR="00C56A28">
        <w:lastRenderedPageBreak/>
        <w:t>HARQ timing configuration</w:t>
      </w:r>
      <w:r w:rsidR="00274D4D">
        <w:t xml:space="preserve"> supported by </w:t>
      </w:r>
      <w:r w:rsidR="00A30B36">
        <w:t xml:space="preserve">Rel-15 </w:t>
      </w:r>
      <w:r w:rsidR="00274D4D">
        <w:t xml:space="preserve">NR can </w:t>
      </w:r>
      <w:r w:rsidR="00A30B36">
        <w:t>help reducing</w:t>
      </w:r>
      <w:r w:rsidR="00274D4D">
        <w:t xml:space="preserve"> </w:t>
      </w:r>
      <w:r w:rsidR="00FE3D51">
        <w:t xml:space="preserve">the </w:t>
      </w:r>
      <w:r w:rsidR="00274D4D">
        <w:t xml:space="preserve">overhead of LBT/CCA, as illustrated in </w:t>
      </w:r>
      <w:r w:rsidR="00274D4D">
        <w:fldChar w:fldCharType="begin"/>
      </w:r>
      <w:r w:rsidR="00274D4D">
        <w:instrText xml:space="preserve"> REF _Ref506556244 \h </w:instrText>
      </w:r>
      <w:r w:rsidR="00274D4D">
        <w:fldChar w:fldCharType="separate"/>
      </w:r>
      <w:r w:rsidR="00FE3D51">
        <w:t xml:space="preserve">Figure </w:t>
      </w:r>
      <w:r w:rsidR="00FE3D51">
        <w:rPr>
          <w:noProof/>
        </w:rPr>
        <w:t>2</w:t>
      </w:r>
      <w:r w:rsidR="00FE3D51">
        <w:noBreakHyphen/>
      </w:r>
      <w:r w:rsidR="00FE3D51">
        <w:rPr>
          <w:noProof/>
        </w:rPr>
        <w:t>3</w:t>
      </w:r>
      <w:r w:rsidR="00274D4D">
        <w:fldChar w:fldCharType="end"/>
      </w:r>
      <w:r w:rsidR="00A30B36">
        <w:t>:</w:t>
      </w:r>
      <w:r w:rsidR="00546FD0">
        <w:t xml:space="preserve"> </w:t>
      </w:r>
    </w:p>
    <w:p w14:paraId="252EAF10" w14:textId="438E54A2" w:rsidR="00C56A28" w:rsidRDefault="00546FD0" w:rsidP="00546FD0">
      <w:pPr>
        <w:pStyle w:val="ListParagraph"/>
        <w:numPr>
          <w:ilvl w:val="0"/>
          <w:numId w:val="31"/>
        </w:numPr>
        <w:jc w:val="both"/>
      </w:pPr>
      <w:r>
        <w:t xml:space="preserve">For UE capable of quick turn-around time between PDSCH and the associated </w:t>
      </w:r>
      <w:r w:rsidR="00A30B36">
        <w:t xml:space="preserve">uplink </w:t>
      </w:r>
      <w:r>
        <w:t>ACK (i.e., K1=0), the UE</w:t>
      </w:r>
      <w:r w:rsidR="00A30B36">
        <w:t xml:space="preserve"> doesn’t need to do extra LBT before sending the ACK. This is similar to Wi-Fi.</w:t>
      </w:r>
    </w:p>
    <w:p w14:paraId="5EA94858" w14:textId="2D37E90E" w:rsidR="00A30B36" w:rsidRDefault="00A30B36" w:rsidP="00546FD0">
      <w:pPr>
        <w:pStyle w:val="ListParagraph"/>
        <w:numPr>
          <w:ilvl w:val="0"/>
          <w:numId w:val="31"/>
        </w:numPr>
        <w:jc w:val="both"/>
      </w:pPr>
      <w:r>
        <w:t>For short transmission</w:t>
      </w:r>
      <w:r w:rsidR="00FE3D51">
        <w:t>s</w:t>
      </w:r>
      <w:r>
        <w:t xml:space="preserve"> (e.g. over wider BW), gNB can schedule multiple transmissions to different UEs, as well as their L1 control feedback</w:t>
      </w:r>
      <w:r w:rsidR="00AF32DD">
        <w:t>,</w:t>
      </w:r>
      <w:r>
        <w:t xml:space="preserve"> within a single channel occupancy time without requiring extra LBT overhead.</w:t>
      </w:r>
    </w:p>
    <w:p w14:paraId="5F040578" w14:textId="77777777" w:rsidR="00C56A28" w:rsidRDefault="00C56A28" w:rsidP="00C56A28">
      <w:pPr>
        <w:jc w:val="both"/>
      </w:pPr>
    </w:p>
    <w:p w14:paraId="3852B8A4" w14:textId="440A86F6" w:rsidR="00C56A28" w:rsidRDefault="00FB5E90" w:rsidP="00C56A28">
      <w:pPr>
        <w:jc w:val="center"/>
      </w:pPr>
      <w:r w:rsidRPr="00FB5E90">
        <w:rPr>
          <w:noProof/>
        </w:rPr>
        <w:drawing>
          <wp:inline distT="0" distB="0" distL="0" distR="0" wp14:anchorId="62E85AF0" wp14:editId="06F5A5A6">
            <wp:extent cx="4648200" cy="1104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8200" cy="1104900"/>
                    </a:xfrm>
                    <a:prstGeom prst="rect">
                      <a:avLst/>
                    </a:prstGeom>
                  </pic:spPr>
                </pic:pic>
              </a:graphicData>
            </a:graphic>
          </wp:inline>
        </w:drawing>
      </w:r>
    </w:p>
    <w:p w14:paraId="7BF39865" w14:textId="3B1BAC72" w:rsidR="00C56A28" w:rsidRDefault="00C56A28" w:rsidP="00C56A28">
      <w:pPr>
        <w:pStyle w:val="Caption"/>
      </w:pPr>
      <w:bookmarkStart w:id="2" w:name="_Ref506556244"/>
      <w:r>
        <w:t xml:space="preserve">Figure </w:t>
      </w:r>
      <w:fldSimple w:instr=" STYLEREF 1 \s ">
        <w:r w:rsidR="00FE3D51">
          <w:rPr>
            <w:noProof/>
          </w:rPr>
          <w:t>2</w:t>
        </w:r>
      </w:fldSimple>
      <w:r w:rsidR="00A30B36">
        <w:noBreakHyphen/>
      </w:r>
      <w:fldSimple w:instr=" SEQ Figure \* ARABIC \s 1 ">
        <w:r w:rsidR="00FE3D51">
          <w:rPr>
            <w:noProof/>
          </w:rPr>
          <w:t>3</w:t>
        </w:r>
      </w:fldSimple>
      <w:bookmarkEnd w:id="2"/>
      <w:r>
        <w:t xml:space="preserve"> NR flexible frame structure in unlicensed access</w:t>
      </w:r>
      <w:r w:rsidR="00274D4D">
        <w:t xml:space="preserve"> to reduce LBT/CCA overhead</w:t>
      </w:r>
    </w:p>
    <w:p w14:paraId="14BC5C91" w14:textId="77777777" w:rsidR="00AD22E6" w:rsidRDefault="00AD22E6" w:rsidP="00B02A2D">
      <w:pPr>
        <w:rPr>
          <w:color w:val="FF0000"/>
        </w:rPr>
      </w:pPr>
    </w:p>
    <w:p w14:paraId="1937D6C8" w14:textId="03C2A8C0" w:rsidR="00AD22E6" w:rsidRPr="00AD22E6" w:rsidRDefault="00AD22E6" w:rsidP="00B02A2D">
      <w:pPr>
        <w:rPr>
          <w:b/>
          <w:i/>
          <w:color w:val="000000" w:themeColor="text1"/>
        </w:rPr>
      </w:pPr>
      <w:r w:rsidRPr="00AD22E6">
        <w:rPr>
          <w:b/>
          <w:i/>
          <w:color w:val="000000" w:themeColor="text1"/>
          <w:u w:val="single"/>
        </w:rPr>
        <w:t>Observation</w:t>
      </w:r>
      <w:r>
        <w:rPr>
          <w:b/>
          <w:i/>
          <w:color w:val="000000" w:themeColor="text1"/>
          <w:u w:val="single"/>
        </w:rPr>
        <w:t xml:space="preserve"> </w:t>
      </w:r>
      <w:r w:rsidRPr="00AD22E6">
        <w:rPr>
          <w:b/>
          <w:i/>
          <w:color w:val="000000" w:themeColor="text1"/>
          <w:u w:val="single"/>
        </w:rPr>
        <w:t>1</w:t>
      </w:r>
      <w:r w:rsidR="00FE3D51">
        <w:rPr>
          <w:b/>
          <w:i/>
          <w:color w:val="000000" w:themeColor="text1"/>
        </w:rPr>
        <w:t xml:space="preserve">: NR based unlicensed design can leverage multiple Rel-15 NR features to improve over existing LAA design, including scalable numerology, flexible frame structure and HARQ timing. </w:t>
      </w:r>
    </w:p>
    <w:p w14:paraId="391D81F2" w14:textId="215CC9F4" w:rsidR="00C9318D" w:rsidRDefault="00B02A2D" w:rsidP="00B02A2D">
      <w:pPr>
        <w:pStyle w:val="Heading1"/>
      </w:pPr>
      <w:bookmarkStart w:id="3" w:name="_Ref506573700"/>
      <w:r>
        <w:t>RTS/CTS</w:t>
      </w:r>
      <w:r w:rsidR="00280848">
        <w:t xml:space="preserve"> as complement to LBT</w:t>
      </w:r>
      <w:bookmarkEnd w:id="3"/>
    </w:p>
    <w:p w14:paraId="3C0EF8E1" w14:textId="28E0EAF1" w:rsidR="00C9318D" w:rsidRDefault="00C9318D" w:rsidP="00C275A9">
      <w:pPr>
        <w:jc w:val="both"/>
      </w:pPr>
      <w:r>
        <w:t>A key design requirement for LTE or NR based unlicensed access is to coexist with other unlicensed based operations and incumbent RATs as a “friendly neighbor”</w:t>
      </w:r>
      <w:r w:rsidR="00C275A9">
        <w:t>, e.g. it should not impact other deployed Wi-Fi services more than an additional Wi-Fi network on the same carrier.</w:t>
      </w:r>
      <w:r>
        <w:t xml:space="preserve"> </w:t>
      </w:r>
    </w:p>
    <w:p w14:paraId="62227AD1" w14:textId="77777777" w:rsidR="00C275A9" w:rsidRDefault="00C275A9" w:rsidP="00C275A9">
      <w:pPr>
        <w:jc w:val="both"/>
      </w:pPr>
    </w:p>
    <w:p w14:paraId="57A1F7BE" w14:textId="48A40E1D" w:rsidR="00C275A9" w:rsidRDefault="00C275A9" w:rsidP="00C275A9">
      <w:pPr>
        <w:jc w:val="both"/>
      </w:pPr>
      <w:r>
        <w:t>In LAA, the coexistence is enabled through energy-based listen-before-talk (LBT)</w:t>
      </w:r>
      <w:r w:rsidR="006C5678">
        <w:t xml:space="preserve"> similar as in Wi-Fi</w:t>
      </w:r>
      <w:r>
        <w:t>, which is also required by regulation in various markets such as Europe, Japan, and India</w:t>
      </w:r>
      <w:r w:rsidR="006C5678">
        <w:t xml:space="preserve"> </w:t>
      </w:r>
      <w:r w:rsidR="006C5678">
        <w:fldChar w:fldCharType="begin"/>
      </w:r>
      <w:r w:rsidR="006C5678">
        <w:instrText xml:space="preserve"> REF _Ref506468726 \r \h </w:instrText>
      </w:r>
      <w:r w:rsidR="006C5678">
        <w:fldChar w:fldCharType="separate"/>
      </w:r>
      <w:r w:rsidR="00FE3D51">
        <w:t>[2]</w:t>
      </w:r>
      <w:r w:rsidR="006C5678">
        <w:fldChar w:fldCharType="end"/>
      </w:r>
      <w:r w:rsidR="006C5678">
        <w:fldChar w:fldCharType="begin"/>
      </w:r>
      <w:r w:rsidR="006C5678">
        <w:instrText xml:space="preserve"> REF _Ref506468732 \r \h </w:instrText>
      </w:r>
      <w:r w:rsidR="006C5678">
        <w:fldChar w:fldCharType="separate"/>
      </w:r>
      <w:r w:rsidR="00FE3D51">
        <w:t>[3]</w:t>
      </w:r>
      <w:r w:rsidR="006C5678">
        <w:fldChar w:fldCharType="end"/>
      </w:r>
      <w:r>
        <w:t>.</w:t>
      </w:r>
      <w:r w:rsidR="006C5678">
        <w:t xml:space="preserve"> LBT is an effective coexistence mechanism that</w:t>
      </w:r>
      <w:r w:rsidR="00280848">
        <w:t>, together with appropriate back-off configuration,</w:t>
      </w:r>
      <w:r w:rsidR="006C5678">
        <w:t xml:space="preserve"> allows diffe</w:t>
      </w:r>
      <w:r w:rsidR="00280848">
        <w:t>rent devices and RATs to share</w:t>
      </w:r>
      <w:r w:rsidR="006C5678">
        <w:t xml:space="preserve"> the usage of the spectrum in TDM fashion. </w:t>
      </w:r>
      <w:r>
        <w:t xml:space="preserve"> </w:t>
      </w:r>
    </w:p>
    <w:p w14:paraId="21EABB23" w14:textId="77777777" w:rsidR="006C5678" w:rsidRDefault="006C5678" w:rsidP="00C275A9">
      <w:pPr>
        <w:jc w:val="both"/>
      </w:pPr>
    </w:p>
    <w:p w14:paraId="58DC173E" w14:textId="42422123" w:rsidR="00280848" w:rsidRDefault="006C5678" w:rsidP="00C275A9">
      <w:pPr>
        <w:jc w:val="both"/>
      </w:pPr>
      <w:r>
        <w:t xml:space="preserve">However, </w:t>
      </w:r>
      <w:r w:rsidR="0072063D">
        <w:t>there is also certain limitations associated with LBT</w:t>
      </w:r>
      <w:r w:rsidR="00280848">
        <w:t xml:space="preserve">, specifically </w:t>
      </w:r>
      <w:r w:rsidR="00AF32DD">
        <w:t>in</w:t>
      </w:r>
      <w:r w:rsidR="00280848">
        <w:t xml:space="preserve"> the following scenarios:</w:t>
      </w:r>
    </w:p>
    <w:p w14:paraId="4519F9EB" w14:textId="45007C7E" w:rsidR="006C5678" w:rsidRDefault="00D26DBF" w:rsidP="00280848">
      <w:pPr>
        <w:pStyle w:val="ListParagraph"/>
        <w:numPr>
          <w:ilvl w:val="0"/>
          <w:numId w:val="28"/>
        </w:numPr>
        <w:jc w:val="both"/>
      </w:pPr>
      <w:r>
        <w:t>H</w:t>
      </w:r>
      <w:r w:rsidR="00280848">
        <w:t>idden</w:t>
      </w:r>
      <w:r>
        <w:t xml:space="preserve"> nodes: where transmitter </w:t>
      </w:r>
      <w:r w:rsidR="00C13CF5">
        <w:t>does not detect the same level of channel occupancy as the receiver</w:t>
      </w:r>
    </w:p>
    <w:p w14:paraId="678EEA84" w14:textId="77777777" w:rsidR="002A1002" w:rsidRDefault="00C13CF5" w:rsidP="00280848">
      <w:pPr>
        <w:pStyle w:val="ListParagraph"/>
        <w:numPr>
          <w:ilvl w:val="0"/>
          <w:numId w:val="28"/>
        </w:numPr>
        <w:jc w:val="both"/>
      </w:pPr>
      <w:r>
        <w:t>Highly directional communication: where</w:t>
      </w:r>
      <w:r w:rsidR="002A1002">
        <w:t xml:space="preserve"> substantial spectrum reuse can be achieved when Tx and Rx beamforming are used.</w:t>
      </w:r>
    </w:p>
    <w:p w14:paraId="5CD67B7E" w14:textId="77777777" w:rsidR="002A1002" w:rsidRDefault="002A1002" w:rsidP="002A1002">
      <w:pPr>
        <w:jc w:val="both"/>
      </w:pPr>
    </w:p>
    <w:p w14:paraId="6F17CA76" w14:textId="2FB89A35" w:rsidR="00472FAC" w:rsidRDefault="002A1002" w:rsidP="002A1002">
      <w:pPr>
        <w:jc w:val="both"/>
      </w:pPr>
      <w:r>
        <w:t>The “hidden nodes” issue is well known for CSMA type of multi-access for unlicensed spectrum, even for sub-6GHz spectrum</w:t>
      </w:r>
      <w:r w:rsidR="00472FAC">
        <w:t xml:space="preserve"> where transmission/reception are less directional. As illustrated in </w:t>
      </w:r>
      <w:r w:rsidR="00472FAC">
        <w:fldChar w:fldCharType="begin"/>
      </w:r>
      <w:r w:rsidR="00472FAC">
        <w:instrText xml:space="preserve"> REF _Ref506475309 \h </w:instrText>
      </w:r>
      <w:r w:rsidR="00472FAC">
        <w:fldChar w:fldCharType="separate"/>
      </w:r>
      <w:r w:rsidR="00FE3D51">
        <w:t xml:space="preserve">Figure </w:t>
      </w:r>
      <w:r w:rsidR="00FE3D51">
        <w:rPr>
          <w:noProof/>
        </w:rPr>
        <w:t>3</w:t>
      </w:r>
      <w:r w:rsidR="00FE3D51">
        <w:noBreakHyphen/>
      </w:r>
      <w:r w:rsidR="00FE3D51">
        <w:rPr>
          <w:noProof/>
        </w:rPr>
        <w:t>1</w:t>
      </w:r>
      <w:r w:rsidR="00472FAC">
        <w:fldChar w:fldCharType="end"/>
      </w:r>
      <w:r w:rsidR="001875B6">
        <w:t>, when gNB</w:t>
      </w:r>
      <w:r w:rsidR="00472FAC">
        <w:t xml:space="preserve"> performs LBT before reaching the UE</w:t>
      </w:r>
      <w:r w:rsidR="00196D77">
        <w:t>1</w:t>
      </w:r>
      <w:r w:rsidR="00472FAC">
        <w:t>, it may no</w:t>
      </w:r>
      <w:r w:rsidR="00AF32DD">
        <w:t>t detect the transmission from another Wi-Fi AP, which is close enough to UE1 but far from the gNB</w:t>
      </w:r>
      <w:r w:rsidR="001875B6">
        <w:t xml:space="preserve">. </w:t>
      </w:r>
      <w:r w:rsidR="00196D77">
        <w:t>Therefore</w:t>
      </w:r>
      <w:r w:rsidR="001875B6">
        <w:t xml:space="preserve">, the </w:t>
      </w:r>
      <w:r w:rsidR="00196D77">
        <w:t>transmission from gNB to the UE1 can potentially be jammed by the transmission from AP.</w:t>
      </w:r>
    </w:p>
    <w:p w14:paraId="07C8FF8D" w14:textId="50AB1FBA" w:rsidR="00C13CF5" w:rsidRDefault="00196D77" w:rsidP="00472FAC">
      <w:pPr>
        <w:jc w:val="center"/>
      </w:pPr>
      <w:r w:rsidRPr="00196D77">
        <w:rPr>
          <w:noProof/>
        </w:rPr>
        <w:drawing>
          <wp:inline distT="0" distB="0" distL="0" distR="0" wp14:anchorId="4FED1223" wp14:editId="54DDB450">
            <wp:extent cx="347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9800" cy="1028700"/>
                    </a:xfrm>
                    <a:prstGeom prst="rect">
                      <a:avLst/>
                    </a:prstGeom>
                  </pic:spPr>
                </pic:pic>
              </a:graphicData>
            </a:graphic>
          </wp:inline>
        </w:drawing>
      </w:r>
    </w:p>
    <w:p w14:paraId="0294D41D" w14:textId="2CEB6AC8" w:rsidR="00472FAC" w:rsidRDefault="00472FAC" w:rsidP="00472FAC">
      <w:pPr>
        <w:pStyle w:val="Caption"/>
      </w:pPr>
      <w:bookmarkStart w:id="4" w:name="_Ref506475309"/>
      <w:r>
        <w:t xml:space="preserve">Figure </w:t>
      </w:r>
      <w:fldSimple w:instr=" STYLEREF 1 \s ">
        <w:r w:rsidR="00FE3D51">
          <w:rPr>
            <w:noProof/>
          </w:rPr>
          <w:t>3</w:t>
        </w:r>
      </w:fldSimple>
      <w:r w:rsidR="00A30B36">
        <w:noBreakHyphen/>
      </w:r>
      <w:fldSimple w:instr=" SEQ Figure \* ARABIC \s 1 ">
        <w:r w:rsidR="00FE3D51">
          <w:rPr>
            <w:noProof/>
          </w:rPr>
          <w:t>1</w:t>
        </w:r>
      </w:fldSimple>
      <w:bookmarkEnd w:id="4"/>
      <w:r w:rsidR="00677703">
        <w:t xml:space="preserve"> hidden nodes from distant interferer</w:t>
      </w:r>
    </w:p>
    <w:p w14:paraId="6150929B" w14:textId="7863FCAC" w:rsidR="00B02A43" w:rsidRDefault="00196D77" w:rsidP="00FD4EC7">
      <w:pPr>
        <w:jc w:val="both"/>
      </w:pPr>
      <w:r>
        <w:lastRenderedPageBreak/>
        <w:t>With alternative RTS/CTS mechanism, UE1 can inform</w:t>
      </w:r>
      <w:r w:rsidR="00706E18">
        <w:t xml:space="preserve"> the gNB with CTS </w:t>
      </w:r>
      <w:r w:rsidR="00AF32DD">
        <w:t>only when</w:t>
      </w:r>
      <w:r w:rsidR="00706E18">
        <w:t xml:space="preserve"> </w:t>
      </w:r>
      <w:r w:rsidR="00116BA2">
        <w:t xml:space="preserve">the channel is </w:t>
      </w:r>
      <w:r w:rsidR="00AF32DD">
        <w:t xml:space="preserve">not </w:t>
      </w:r>
      <w:r w:rsidR="00116BA2">
        <w:t xml:space="preserve">being occupied or interference </w:t>
      </w:r>
      <w:r w:rsidR="00F50FE8">
        <w:t>seen at the UE side</w:t>
      </w:r>
      <w:r w:rsidR="00AF32DD">
        <w:t xml:space="preserve"> is weak enough</w:t>
      </w:r>
      <w:r w:rsidR="00F50FE8">
        <w:t xml:space="preserve">, as well as “muting” other potential </w:t>
      </w:r>
      <w:r w:rsidR="00AF32DD">
        <w:t xml:space="preserve">close-by </w:t>
      </w:r>
      <w:r w:rsidR="00F50FE8">
        <w:t>interferers.</w:t>
      </w:r>
    </w:p>
    <w:p w14:paraId="27CF59EC" w14:textId="77777777" w:rsidR="00FD4EC7" w:rsidRDefault="00FD4EC7" w:rsidP="00B02A2D"/>
    <w:p w14:paraId="58B9793E" w14:textId="16F8F043" w:rsidR="00FD4EC7" w:rsidRDefault="00FD4EC7" w:rsidP="00FD4EC7">
      <w:pPr>
        <w:jc w:val="both"/>
      </w:pPr>
      <w:r>
        <w:t>Another scenario where LBT does not work effectively</w:t>
      </w:r>
      <w:r w:rsidR="00AF32DD">
        <w:t xml:space="preserve"> (</w:t>
      </w:r>
      <w:r w:rsidR="00834B74">
        <w:t>again</w:t>
      </w:r>
      <w:r w:rsidR="00AF32DD">
        <w:t>,</w:t>
      </w:r>
      <w:r w:rsidR="00834B74">
        <w:t xml:space="preserve"> due to the fact that interference seen at transmitter is not same as that at receiver</w:t>
      </w:r>
      <w:r w:rsidR="00AF32DD">
        <w:t>)</w:t>
      </w:r>
      <w:r>
        <w:t xml:space="preserve"> is when transmission and reception are highly directional through beam-forming, e.g. in mmW communications.</w:t>
      </w:r>
      <w:r w:rsidR="00677703">
        <w:t xml:space="preserve"> </w:t>
      </w:r>
      <w:r w:rsidR="00677703">
        <w:fldChar w:fldCharType="begin"/>
      </w:r>
      <w:r w:rsidR="00677703">
        <w:instrText xml:space="preserve"> REF _Ref506539436 \h </w:instrText>
      </w:r>
      <w:r w:rsidR="00677703">
        <w:fldChar w:fldCharType="separate"/>
      </w:r>
      <w:r w:rsidR="00FE3D51">
        <w:t xml:space="preserve">Figure </w:t>
      </w:r>
      <w:r w:rsidR="00FE3D51">
        <w:rPr>
          <w:noProof/>
        </w:rPr>
        <w:t>3</w:t>
      </w:r>
      <w:r w:rsidR="00FE3D51">
        <w:noBreakHyphen/>
      </w:r>
      <w:r w:rsidR="00FE3D51">
        <w:rPr>
          <w:noProof/>
        </w:rPr>
        <w:t>2</w:t>
      </w:r>
      <w:r w:rsidR="00677703">
        <w:fldChar w:fldCharType="end"/>
      </w:r>
      <w:r w:rsidR="00677703">
        <w:t xml:space="preserve"> illustrates an example: LBT from gNB would not be able to identify the directional transmission from hidden Wi-Fi AP, which is transmitting to UE1. Therefore, the signal </w:t>
      </w:r>
      <w:r w:rsidR="00197A2B">
        <w:t xml:space="preserve">transmitted </w:t>
      </w:r>
      <w:r w:rsidR="00677703">
        <w:t>from gNB to UE2 can be jammed by the Wi-Fi signal. Similarly, the reception at UE1 could also be severely interfered by the gNB’s transmission.</w:t>
      </w:r>
    </w:p>
    <w:p w14:paraId="21551B9C" w14:textId="2CFA4897" w:rsidR="000D13F7" w:rsidRDefault="000D13F7" w:rsidP="000D13F7">
      <w:pPr>
        <w:jc w:val="center"/>
      </w:pPr>
      <w:r w:rsidRPr="000D13F7">
        <w:rPr>
          <w:noProof/>
        </w:rPr>
        <w:drawing>
          <wp:inline distT="0" distB="0" distL="0" distR="0" wp14:anchorId="18BF8B78" wp14:editId="0756406E">
            <wp:extent cx="2260600" cy="104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60600" cy="1041400"/>
                    </a:xfrm>
                    <a:prstGeom prst="rect">
                      <a:avLst/>
                    </a:prstGeom>
                  </pic:spPr>
                </pic:pic>
              </a:graphicData>
            </a:graphic>
          </wp:inline>
        </w:drawing>
      </w:r>
    </w:p>
    <w:p w14:paraId="12F27A87" w14:textId="7B18D63C" w:rsidR="000D13F7" w:rsidRDefault="000D13F7" w:rsidP="000D13F7">
      <w:pPr>
        <w:pStyle w:val="Caption"/>
      </w:pPr>
      <w:bookmarkStart w:id="5" w:name="_Ref506539436"/>
      <w:r>
        <w:t xml:space="preserve">Figure </w:t>
      </w:r>
      <w:fldSimple w:instr=" STYLEREF 1 \s ">
        <w:r w:rsidR="00FE3D51">
          <w:rPr>
            <w:noProof/>
          </w:rPr>
          <w:t>3</w:t>
        </w:r>
      </w:fldSimple>
      <w:r w:rsidR="00A30B36">
        <w:noBreakHyphen/>
      </w:r>
      <w:fldSimple w:instr=" SEQ Figure \* ARABIC \s 1 ">
        <w:r w:rsidR="00FE3D51">
          <w:rPr>
            <w:noProof/>
          </w:rPr>
          <w:t>2</w:t>
        </w:r>
      </w:fldSimple>
      <w:bookmarkEnd w:id="5"/>
      <w:r>
        <w:t xml:space="preserve"> hidden nodes due to directional interference</w:t>
      </w:r>
    </w:p>
    <w:p w14:paraId="71DD77AC" w14:textId="2FFEF004" w:rsidR="00677703" w:rsidRDefault="00677703" w:rsidP="001027AA">
      <w:pPr>
        <w:jc w:val="both"/>
      </w:pPr>
      <w:r>
        <w:t xml:space="preserve">In this case, the CCA can be further enhanced if gNB only sends out a short </w:t>
      </w:r>
      <w:r w:rsidR="001027AA">
        <w:t xml:space="preserve">RTS, which </w:t>
      </w:r>
      <w:r w:rsidR="0045595C">
        <w:t>keep</w:t>
      </w:r>
      <w:r w:rsidR="001027AA">
        <w:t xml:space="preserve"> any potential interference</w:t>
      </w:r>
      <w:r w:rsidR="0045595C">
        <w:t xml:space="preserve"> to minimum</w:t>
      </w:r>
      <w:r w:rsidR="001027AA">
        <w:t>, and let the target UE to confirm with a CTS. This makes sure that the target UE will not be subject to any interferer unseen by the gNB. In addition, the Tx/Rx beam is typically wider at the UE side due to limited antenna configuration, and the “wider” CTS beam could also mute potential interferers which are listening to the direction of the target UE.</w:t>
      </w:r>
    </w:p>
    <w:p w14:paraId="7D522399" w14:textId="77777777" w:rsidR="001027AA" w:rsidRDefault="001027AA" w:rsidP="001027AA">
      <w:pPr>
        <w:jc w:val="both"/>
      </w:pPr>
    </w:p>
    <w:p w14:paraId="2D7A1812" w14:textId="3FFA3864" w:rsidR="001027AA" w:rsidRPr="001027AA" w:rsidRDefault="001027AA" w:rsidP="001027AA">
      <w:pPr>
        <w:jc w:val="both"/>
        <w:rPr>
          <w:b/>
          <w:i/>
        </w:rPr>
      </w:pPr>
      <w:r w:rsidRPr="001027AA">
        <w:rPr>
          <w:b/>
          <w:i/>
          <w:u w:val="single"/>
        </w:rPr>
        <w:t>Proposal 1</w:t>
      </w:r>
      <w:r w:rsidRPr="001027AA">
        <w:rPr>
          <w:b/>
          <w:i/>
        </w:rPr>
        <w:t>: NRU to support RTS/CTS mechanism to help mitigating potential hidden node issue.</w:t>
      </w:r>
    </w:p>
    <w:p w14:paraId="6D498271" w14:textId="66DBA1AE" w:rsidR="006F21A8" w:rsidRDefault="006F21A8" w:rsidP="006A1E84">
      <w:pPr>
        <w:pStyle w:val="Heading1"/>
      </w:pPr>
      <w:r>
        <w:t xml:space="preserve">UE </w:t>
      </w:r>
      <w:r w:rsidR="004F35E5">
        <w:t xml:space="preserve">Assisted </w:t>
      </w:r>
      <w:r w:rsidR="003E52E6">
        <w:t>Channel Selection</w:t>
      </w:r>
      <w:r>
        <w:t xml:space="preserve"> </w:t>
      </w:r>
    </w:p>
    <w:p w14:paraId="4D6940CD" w14:textId="3EBD0D7C" w:rsidR="007F469E" w:rsidRDefault="003E52E6" w:rsidP="003E52E6">
      <w:pPr>
        <w:jc w:val="both"/>
      </w:pPr>
      <w:r>
        <w:t xml:space="preserve">One mechanism that enables a fair spectrum sharing is dynamic channel selection, where the transmitter (e.g. LAA base station) can scan the spectrum for available channels both at initial power up as well as periodically after initial power up. This </w:t>
      </w:r>
      <w:r w:rsidR="0045595C">
        <w:t xml:space="preserve">dynamic channel selection </w:t>
      </w:r>
      <w:r w:rsidR="00C963BC">
        <w:t>can be</w:t>
      </w:r>
      <w:r w:rsidR="0045595C">
        <w:t xml:space="preserve"> </w:t>
      </w:r>
      <w:r>
        <w:t xml:space="preserve">helpful in regions where LBT are not mandated. </w:t>
      </w:r>
      <w:r w:rsidR="0045595C">
        <w:t xml:space="preserve">The measurement </w:t>
      </w:r>
      <w:bookmarkStart w:id="6" w:name="_GoBack"/>
      <w:bookmarkEnd w:id="6"/>
      <w:r>
        <w:t>is typically done at the transmitter side, and typically uses energy-based measurement making it RAT agnostic.</w:t>
      </w:r>
    </w:p>
    <w:p w14:paraId="65865AE7" w14:textId="77777777" w:rsidR="00F50FE8" w:rsidRDefault="00F50FE8" w:rsidP="003E52E6">
      <w:pPr>
        <w:jc w:val="both"/>
      </w:pPr>
    </w:p>
    <w:p w14:paraId="67AFA328" w14:textId="77777777" w:rsidR="00F50FE8" w:rsidRDefault="00F50FE8" w:rsidP="003E52E6">
      <w:pPr>
        <w:jc w:val="both"/>
      </w:pPr>
      <w:r>
        <w:t xml:space="preserve">As discussed in earlier sections, in certain scenarios, the interference or channel utilization observed at the transmitter does not always reflect the interference seen at the receiver side, which is often more relevant. Therefore, it could be helpful that UEs can periodically (or occasionally) report their own measurement to the gNB scheduler to assist the channel selection procedure. </w:t>
      </w:r>
    </w:p>
    <w:p w14:paraId="7188DB6B" w14:textId="77777777" w:rsidR="00F50FE8" w:rsidRDefault="00F50FE8" w:rsidP="003E52E6">
      <w:pPr>
        <w:jc w:val="both"/>
      </w:pPr>
    </w:p>
    <w:p w14:paraId="6E5A2F60" w14:textId="728BFFCB" w:rsidR="00F50FE8" w:rsidRDefault="00F50FE8" w:rsidP="003E52E6">
      <w:pPr>
        <w:jc w:val="both"/>
      </w:pPr>
      <w:r>
        <w:t xml:space="preserve">In addition, for the UE-assisted channel selection, the UE measurement could be energy-based if scheduler want to RAT agnostic, or potentially RAT specific if LAA cells want to only avoid interference </w:t>
      </w:r>
      <w:r w:rsidR="005B5CD9">
        <w:t>from a particular RAT (e.g. UE can detect based on Wi-Fi pre-amble if want to avoi</w:t>
      </w:r>
      <w:r w:rsidR="00C963BC">
        <w:t>d interference from Wi-Fi devices).</w:t>
      </w:r>
    </w:p>
    <w:p w14:paraId="1CB16904" w14:textId="77777777" w:rsidR="003E52E6" w:rsidRDefault="003E52E6" w:rsidP="008D6B29"/>
    <w:p w14:paraId="44EF2AF1" w14:textId="5E14E214" w:rsidR="00E413B2" w:rsidRPr="00C963BC" w:rsidRDefault="00C963BC" w:rsidP="008D6B29">
      <w:pPr>
        <w:rPr>
          <w:b/>
          <w:i/>
        </w:rPr>
      </w:pPr>
      <w:r w:rsidRPr="00C963BC">
        <w:rPr>
          <w:b/>
          <w:i/>
          <w:u w:val="single"/>
        </w:rPr>
        <w:t>Proposal 2</w:t>
      </w:r>
      <w:r w:rsidRPr="00C963BC">
        <w:rPr>
          <w:b/>
          <w:i/>
        </w:rPr>
        <w:t xml:space="preserve">: </w:t>
      </w:r>
      <w:r w:rsidR="00FE3D51">
        <w:rPr>
          <w:b/>
          <w:i/>
        </w:rPr>
        <w:t>NRU to</w:t>
      </w:r>
      <w:r w:rsidRPr="00C963BC">
        <w:rPr>
          <w:b/>
          <w:i/>
        </w:rPr>
        <w:t xml:space="preserve"> support UE-assisted channel selection.</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t>Concl</w:t>
      </w:r>
      <w:r w:rsidR="009C5A97" w:rsidRPr="00FB330B">
        <w:t>usion</w:t>
      </w:r>
      <w:r w:rsidR="004424BC" w:rsidRPr="00FB330B">
        <w:t>s</w:t>
      </w:r>
    </w:p>
    <w:p w14:paraId="5DD07323" w14:textId="71ADFBAD" w:rsidR="00FE3D51" w:rsidRDefault="00FE3D51" w:rsidP="00FE3D51">
      <w:r>
        <w:t>In this contribution, we briefly discuss a few existing Rel-15 NR features that could be leveraged for NR based unlicensed access. We have the following observation and proposals:</w:t>
      </w:r>
    </w:p>
    <w:p w14:paraId="46B30BB1" w14:textId="77777777" w:rsidR="00FE3D51" w:rsidRDefault="00FE3D51" w:rsidP="00FE3D51">
      <w:pPr>
        <w:rPr>
          <w:b/>
          <w:i/>
          <w:color w:val="000000" w:themeColor="text1"/>
        </w:rPr>
      </w:pPr>
      <w:r w:rsidRPr="00AD22E6">
        <w:rPr>
          <w:b/>
          <w:i/>
          <w:color w:val="000000" w:themeColor="text1"/>
          <w:u w:val="single"/>
        </w:rPr>
        <w:lastRenderedPageBreak/>
        <w:t>Observation</w:t>
      </w:r>
      <w:r>
        <w:rPr>
          <w:b/>
          <w:i/>
          <w:color w:val="000000" w:themeColor="text1"/>
          <w:u w:val="single"/>
        </w:rPr>
        <w:t xml:space="preserve"> </w:t>
      </w:r>
      <w:r w:rsidRPr="00AD22E6">
        <w:rPr>
          <w:b/>
          <w:i/>
          <w:color w:val="000000" w:themeColor="text1"/>
          <w:u w:val="single"/>
        </w:rPr>
        <w:t>1</w:t>
      </w:r>
      <w:r>
        <w:rPr>
          <w:b/>
          <w:i/>
          <w:color w:val="000000" w:themeColor="text1"/>
        </w:rPr>
        <w:t xml:space="preserve">: NR based unlicensed design can leverage multiple Rel-15 NR features to improve over existing LAA design, including scalable numerology, flexible frame structure and HARQ timing. </w:t>
      </w:r>
    </w:p>
    <w:p w14:paraId="7314EBED" w14:textId="77777777" w:rsidR="00FE3D51" w:rsidRDefault="00FE3D51" w:rsidP="00FE3D51">
      <w:pPr>
        <w:rPr>
          <w:b/>
          <w:i/>
          <w:color w:val="000000" w:themeColor="text1"/>
        </w:rPr>
      </w:pPr>
    </w:p>
    <w:p w14:paraId="548AFCE6" w14:textId="77777777" w:rsidR="00FE3D51" w:rsidRDefault="00FE3D51" w:rsidP="00FE3D51">
      <w:pPr>
        <w:jc w:val="both"/>
        <w:rPr>
          <w:b/>
          <w:i/>
        </w:rPr>
      </w:pPr>
      <w:r w:rsidRPr="001027AA">
        <w:rPr>
          <w:b/>
          <w:i/>
          <w:u w:val="single"/>
        </w:rPr>
        <w:t>Proposal 1</w:t>
      </w:r>
      <w:r w:rsidRPr="001027AA">
        <w:rPr>
          <w:b/>
          <w:i/>
        </w:rPr>
        <w:t>: NRU to support RTS/CTS mechanism to help mitigating potential hidden node issue.</w:t>
      </w:r>
    </w:p>
    <w:p w14:paraId="516130F6" w14:textId="77777777" w:rsidR="00FE3D51" w:rsidRDefault="00FE3D51" w:rsidP="00FE3D51">
      <w:pPr>
        <w:jc w:val="both"/>
        <w:rPr>
          <w:b/>
          <w:i/>
        </w:rPr>
      </w:pPr>
    </w:p>
    <w:p w14:paraId="5673E6BD" w14:textId="5C7F8B63" w:rsidR="00FE3D51" w:rsidRPr="00C963BC" w:rsidRDefault="00FE3D51" w:rsidP="00FE3D51">
      <w:pPr>
        <w:rPr>
          <w:b/>
          <w:i/>
        </w:rPr>
      </w:pPr>
      <w:r w:rsidRPr="00C963BC">
        <w:rPr>
          <w:b/>
          <w:i/>
          <w:u w:val="single"/>
        </w:rPr>
        <w:t>Proposal 2</w:t>
      </w:r>
      <w:r w:rsidRPr="00C963BC">
        <w:rPr>
          <w:b/>
          <w:i/>
        </w:rPr>
        <w:t xml:space="preserve">: </w:t>
      </w:r>
      <w:r>
        <w:rPr>
          <w:b/>
          <w:i/>
        </w:rPr>
        <w:t>NRU to</w:t>
      </w:r>
      <w:r w:rsidRPr="00C963BC">
        <w:rPr>
          <w:b/>
          <w:i/>
        </w:rPr>
        <w:t xml:space="preserve"> support UE-assisted channel selection.</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D533ED"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7"/>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06468726"/>
      <w:r>
        <w:rPr>
          <w:sz w:val="20"/>
        </w:rPr>
        <w:t>ETSI</w:t>
      </w:r>
      <w:r w:rsidR="006C5678">
        <w:rPr>
          <w:sz w:val="20"/>
        </w:rPr>
        <w:t xml:space="preserve"> EN 301 893, “5GHz RLAN; Harmonised Standard covering the essential requirements of article 3.2 of Directive 2014/53/EU”</w:t>
      </w:r>
      <w:bookmarkEnd w:id="8"/>
    </w:p>
    <w:p w14:paraId="7151BA9A" w14:textId="14082DBB"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06468732"/>
      <w:r>
        <w:rPr>
          <w:sz w:val="20"/>
          <w:szCs w:val="20"/>
        </w:rPr>
        <w:t>ETSI EN 302 567, “Multiple-Gigabit radio equipment operating in the 60GHz band”</w:t>
      </w:r>
      <w:bookmarkEnd w:id="9"/>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D6352" w14:textId="77777777" w:rsidR="000A7D0B" w:rsidRDefault="000A7D0B">
      <w:r>
        <w:separator/>
      </w:r>
    </w:p>
  </w:endnote>
  <w:endnote w:type="continuationSeparator" w:id="0">
    <w:p w14:paraId="0CE63264" w14:textId="77777777" w:rsidR="000A7D0B" w:rsidRDefault="000A7D0B">
      <w:r>
        <w:continuationSeparator/>
      </w:r>
    </w:p>
  </w:endnote>
  <w:endnote w:type="continuationNotice" w:id="1">
    <w:p w14:paraId="70BC1270" w14:textId="77777777" w:rsidR="000A7D0B" w:rsidRDefault="000A7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ED15D" w14:textId="77777777" w:rsidR="000A7D0B" w:rsidRDefault="000A7D0B">
      <w:r>
        <w:separator/>
      </w:r>
    </w:p>
  </w:footnote>
  <w:footnote w:type="continuationSeparator" w:id="0">
    <w:p w14:paraId="51063DD3" w14:textId="77777777" w:rsidR="000A7D0B" w:rsidRDefault="000A7D0B">
      <w:r>
        <w:continuationSeparator/>
      </w:r>
    </w:p>
  </w:footnote>
  <w:footnote w:type="continuationNotice" w:id="1">
    <w:p w14:paraId="52B251AA" w14:textId="77777777" w:rsidR="000A7D0B" w:rsidRDefault="000A7D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8"/>
  </w:num>
  <w:num w:numId="7">
    <w:abstractNumId w:val="24"/>
  </w:num>
  <w:num w:numId="8">
    <w:abstractNumId w:val="12"/>
  </w:num>
  <w:num w:numId="9">
    <w:abstractNumId w:val="21"/>
  </w:num>
  <w:num w:numId="10">
    <w:abstractNumId w:val="14"/>
  </w:num>
  <w:num w:numId="11">
    <w:abstractNumId w:val="13"/>
  </w:num>
  <w:num w:numId="12">
    <w:abstractNumId w:val="25"/>
  </w:num>
  <w:num w:numId="13">
    <w:abstractNumId w:val="8"/>
  </w:num>
  <w:num w:numId="14">
    <w:abstractNumId w:val="1"/>
  </w:num>
  <w:num w:numId="15">
    <w:abstractNumId w:val="5"/>
  </w:num>
  <w:num w:numId="16">
    <w:abstractNumId w:val="27"/>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6"/>
  </w:num>
  <w:num w:numId="24">
    <w:abstractNumId w:val="6"/>
  </w:num>
  <w:num w:numId="25">
    <w:abstractNumId w:val="15"/>
  </w:num>
  <w:num w:numId="26">
    <w:abstractNumId w:val="23"/>
  </w:num>
  <w:num w:numId="27">
    <w:abstractNumId w:val="2"/>
  </w:num>
  <w:num w:numId="28">
    <w:abstractNumId w:val="10"/>
  </w:num>
  <w:num w:numId="29">
    <w:abstractNumId w:val="9"/>
  </w:num>
  <w:num w:numId="30">
    <w:abstractNumId w:val="22"/>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7B4"/>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A488C-B3D2-E849-A5F7-9D7789759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1052</TotalTime>
  <Pages>5</Pages>
  <Words>1598</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312</cp:revision>
  <cp:lastPrinted>2008-01-31T16:09:00Z</cp:lastPrinted>
  <dcterms:created xsi:type="dcterms:W3CDTF">2017-09-28T15:58:00Z</dcterms:created>
  <dcterms:modified xsi:type="dcterms:W3CDTF">2018-02-17T04:38:00Z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